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5A293" w14:textId="77777777" w:rsidR="00CB1639" w:rsidRDefault="00CB1639">
      <w:pPr>
        <w:jc w:val="center"/>
        <w:rPr>
          <w:b/>
          <w:sz w:val="28"/>
          <w:szCs w:val="28"/>
        </w:rPr>
      </w:pPr>
    </w:p>
    <w:p w14:paraId="4D4E7511" w14:textId="6E0E4A4F" w:rsidR="0076412F" w:rsidRPr="00CB1639" w:rsidRDefault="004C7E6E">
      <w:pPr>
        <w:jc w:val="center"/>
        <w:rPr>
          <w:rFonts w:asciiTheme="majorHAnsi" w:hAnsiTheme="majorHAnsi" w:cstheme="majorHAnsi"/>
          <w:b/>
          <w:sz w:val="28"/>
          <w:szCs w:val="28"/>
        </w:rPr>
      </w:pPr>
      <w:r w:rsidRPr="00CB1639">
        <w:rPr>
          <w:rFonts w:asciiTheme="majorHAnsi" w:hAnsiTheme="majorHAnsi" w:cstheme="majorHAnsi"/>
          <w:b/>
          <w:sz w:val="28"/>
          <w:szCs w:val="28"/>
        </w:rPr>
        <w:t xml:space="preserve">The Jut Art Museum invites </w:t>
      </w:r>
      <w:proofErr w:type="spellStart"/>
      <w:r w:rsidRPr="00CB1639">
        <w:rPr>
          <w:rFonts w:asciiTheme="majorHAnsi" w:hAnsiTheme="majorHAnsi" w:cstheme="majorHAnsi"/>
          <w:b/>
          <w:sz w:val="28"/>
          <w:szCs w:val="28"/>
        </w:rPr>
        <w:t>Tadao</w:t>
      </w:r>
      <w:proofErr w:type="spellEnd"/>
      <w:r w:rsidRPr="00CB1639">
        <w:rPr>
          <w:rFonts w:asciiTheme="majorHAnsi" w:hAnsiTheme="majorHAnsi" w:cstheme="majorHAnsi"/>
          <w:b/>
          <w:sz w:val="28"/>
          <w:szCs w:val="28"/>
        </w:rPr>
        <w:t xml:space="preserve"> Ando to stage the exhibition “</w:t>
      </w:r>
      <w:r w:rsidRPr="00CB1639">
        <w:rPr>
          <w:rFonts w:asciiTheme="majorHAnsi" w:hAnsiTheme="majorHAnsi" w:cstheme="majorHAnsi"/>
          <w:b/>
          <w:i/>
          <w:sz w:val="28"/>
          <w:szCs w:val="28"/>
        </w:rPr>
        <w:t>TADAO ANDO: ENDEAVORS</w:t>
      </w:r>
      <w:r w:rsidRPr="00CB1639">
        <w:rPr>
          <w:rFonts w:asciiTheme="majorHAnsi" w:hAnsiTheme="majorHAnsi" w:cstheme="majorHAnsi"/>
          <w:b/>
          <w:sz w:val="28"/>
          <w:szCs w:val="28"/>
        </w:rPr>
        <w:t>” in Taiwan,</w:t>
      </w:r>
      <w:r w:rsidRPr="00CB1639">
        <w:rPr>
          <w:rFonts w:asciiTheme="majorHAnsi" w:hAnsiTheme="majorHAnsi" w:cstheme="majorHAnsi"/>
        </w:rPr>
        <w:t xml:space="preserve"> </w:t>
      </w:r>
      <w:r w:rsidRPr="00CB1639">
        <w:rPr>
          <w:rFonts w:asciiTheme="majorHAnsi" w:hAnsiTheme="majorHAnsi" w:cstheme="majorHAnsi"/>
          <w:b/>
          <w:sz w:val="28"/>
          <w:szCs w:val="28"/>
        </w:rPr>
        <w:t>the land of “dialogue” and the final stop on his global exhibition tour.</w:t>
      </w:r>
    </w:p>
    <w:p w14:paraId="55EDDBED" w14:textId="77777777" w:rsidR="0076412F" w:rsidRDefault="0076412F">
      <w:pPr>
        <w:jc w:val="center"/>
        <w:rPr>
          <w:sz w:val="22"/>
          <w:szCs w:val="22"/>
        </w:rPr>
      </w:pPr>
    </w:p>
    <w:p w14:paraId="211AE944" w14:textId="1654E6D6" w:rsidR="0076412F" w:rsidRDefault="004C7E6E">
      <w:pPr>
        <w:jc w:val="center"/>
        <w:rPr>
          <w:sz w:val="22"/>
          <w:szCs w:val="22"/>
        </w:rPr>
      </w:pPr>
      <w:r>
        <w:rPr>
          <w:b/>
          <w:noProof/>
          <w:color w:val="000000"/>
          <w:sz w:val="22"/>
          <w:szCs w:val="22"/>
        </w:rPr>
        <w:drawing>
          <wp:inline distT="0" distB="0" distL="0" distR="0" wp14:anchorId="74CA0F04" wp14:editId="50FD974D">
            <wp:extent cx="4727330" cy="1800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4727330" cy="1800000"/>
                    </a:xfrm>
                    <a:prstGeom prst="rect">
                      <a:avLst/>
                    </a:prstGeom>
                    <a:ln/>
                  </pic:spPr>
                </pic:pic>
              </a:graphicData>
            </a:graphic>
          </wp:inline>
        </w:drawing>
      </w:r>
      <w:r>
        <w:rPr>
          <w:sz w:val="22"/>
          <w:szCs w:val="22"/>
        </w:rPr>
        <w:t xml:space="preserve"> </w:t>
      </w:r>
    </w:p>
    <w:p w14:paraId="52284C19" w14:textId="63023A11" w:rsidR="00EF17BA" w:rsidRPr="00EF17BA" w:rsidRDefault="00EF17BA">
      <w:pPr>
        <w:jc w:val="center"/>
        <w:rPr>
          <w:sz w:val="18"/>
          <w:szCs w:val="18"/>
        </w:rPr>
      </w:pPr>
      <w:r w:rsidRPr="00EF17BA">
        <w:rPr>
          <w:sz w:val="18"/>
          <w:szCs w:val="18"/>
          <w:shd w:val="pct15" w:color="auto" w:fill="FFFFFF"/>
        </w:rPr>
        <w:t>TADAO ANDO ENDEAVORS (TAIPEI) -Key Visual ©Jut Art Museum</w:t>
      </w:r>
    </w:p>
    <w:p w14:paraId="2073AB33" w14:textId="77777777" w:rsidR="0076412F" w:rsidRDefault="0076412F">
      <w:pPr>
        <w:rPr>
          <w:sz w:val="22"/>
          <w:szCs w:val="22"/>
        </w:rPr>
      </w:pPr>
    </w:p>
    <w:p w14:paraId="6D04025A" w14:textId="3A65988D" w:rsidR="0076412F" w:rsidRPr="00BD49C3" w:rsidRDefault="004C7E6E">
      <w:pPr>
        <w:jc w:val="both"/>
      </w:pPr>
      <w:r w:rsidRPr="00BD49C3">
        <w:t xml:space="preserve">As the first art museum focusing on the issues of “future” and “city” in Taiwan, the Jut Art Museum, after celebrating the 5th anniversary of its establishment, works in tandem with the </w:t>
      </w:r>
      <w:proofErr w:type="spellStart"/>
      <w:r w:rsidRPr="00BD49C3">
        <w:t>Tadao</w:t>
      </w:r>
      <w:proofErr w:type="spellEnd"/>
      <w:r w:rsidRPr="00BD49C3">
        <w:t xml:space="preserve"> Ando Exhibition Committee and invited the Japanese-trained architect </w:t>
      </w:r>
      <w:proofErr w:type="spellStart"/>
      <w:r w:rsidRPr="00BD49C3">
        <w:t>Kokuei</w:t>
      </w:r>
      <w:proofErr w:type="spellEnd"/>
      <w:r w:rsidRPr="00BD49C3">
        <w:t xml:space="preserve"> Ryu as the curatorial advisors to introduce the grand retrospective exhibition “</w:t>
      </w:r>
      <w:r w:rsidRPr="00BD49C3">
        <w:rPr>
          <w:b/>
          <w:i/>
        </w:rPr>
        <w:t>TADAO ANDO: ENDEAVORS</w:t>
      </w:r>
      <w:r w:rsidRPr="00BD49C3">
        <w:t xml:space="preserve">” into Taiwan this summer. A winner of the Pritzker Architecture Prize, Ando states that “this exhibition has toured five cities in five years, and it’s absolutely a meaningful coincidence that the final stop is Taiwan, the ‘land of dialogue.’ I expect this exhibition to afford the visitors an opportunity to cogitate upon the origin of architecture.” The exhibition is currently on view at Warehouse No. 1, </w:t>
      </w:r>
      <w:proofErr w:type="spellStart"/>
      <w:r w:rsidRPr="00BD49C3">
        <w:t>Songshan</w:t>
      </w:r>
      <w:proofErr w:type="spellEnd"/>
      <w:r w:rsidRPr="00BD49C3">
        <w:t xml:space="preserve"> Cultural and Creative Park till 13rd September 2022.</w:t>
      </w:r>
    </w:p>
    <w:p w14:paraId="4DDB158E" w14:textId="77777777" w:rsidR="0076412F" w:rsidRPr="00BD49C3" w:rsidRDefault="0076412F">
      <w:pPr>
        <w:jc w:val="both"/>
      </w:pPr>
    </w:p>
    <w:p w14:paraId="11B423DC" w14:textId="608DDD49" w:rsidR="0076412F" w:rsidRPr="00BD49C3" w:rsidRDefault="004C7E6E">
      <w:pPr>
        <w:jc w:val="both"/>
      </w:pPr>
      <w:r w:rsidRPr="00BD49C3">
        <w:t xml:space="preserve">Divided into four major themes, namely “Primitive Shapes of Space,” “An Urban Challenge,” “Landscape Genesis” and “Dialogue with History,” this exhibition features more than 300 pieces of works that encompass Ando’s design manuscripts, architectural models, videos, and photographs, together with his travel sketches made during his autodidactic period. An exact 1:1 scale replica of the classic architectural space </w:t>
      </w:r>
      <w:r w:rsidRPr="00BD49C3">
        <w:rPr>
          <w:i/>
        </w:rPr>
        <w:t>Church of the Light</w:t>
      </w:r>
      <w:r w:rsidRPr="00BD49C3">
        <w:t xml:space="preserve"> is displayed at the venue as well. These exhibits range from the architect’s early works to his recent projects, presenting a systematic, in-depth dissection of Ando’s architectural philosophy.</w:t>
      </w:r>
    </w:p>
    <w:p w14:paraId="46D067A4" w14:textId="77777777" w:rsidR="0076412F" w:rsidRPr="00BD49C3" w:rsidRDefault="0076412F">
      <w:pPr>
        <w:jc w:val="both"/>
      </w:pPr>
    </w:p>
    <w:p w14:paraId="5772114E" w14:textId="776A3EEA" w:rsidR="0076412F" w:rsidRPr="00BD49C3" w:rsidRDefault="004C7E6E">
      <w:pPr>
        <w:jc w:val="both"/>
      </w:pPr>
      <w:r w:rsidRPr="00BD49C3">
        <w:t>Following “</w:t>
      </w:r>
      <w:r w:rsidRPr="00BD49C3">
        <w:rPr>
          <w:b/>
          <w:i/>
        </w:rPr>
        <w:t>SOS Brutalism—Save the Concrete Monsters!</w:t>
      </w:r>
      <w:r w:rsidRPr="00BD49C3">
        <w:t xml:space="preserve">” co-organized with the </w:t>
      </w:r>
      <w:proofErr w:type="spellStart"/>
      <w:r w:rsidRPr="00BD49C3">
        <w:t>Deutsches</w:t>
      </w:r>
      <w:proofErr w:type="spellEnd"/>
      <w:r w:rsidRPr="00BD49C3">
        <w:t xml:space="preserve"> </w:t>
      </w:r>
      <w:proofErr w:type="spellStart"/>
      <w:r w:rsidRPr="00BD49C3">
        <w:t>Architekturmuseum</w:t>
      </w:r>
      <w:proofErr w:type="spellEnd"/>
      <w:r w:rsidRPr="00BD49C3">
        <w:t xml:space="preserve"> in 2020 that addresses the architectural trends of the times, and “</w:t>
      </w:r>
      <w:r w:rsidRPr="00BD49C3">
        <w:rPr>
          <w:b/>
          <w:i/>
        </w:rPr>
        <w:t xml:space="preserve">Drawing Ambience: Alvin </w:t>
      </w:r>
      <w:proofErr w:type="spellStart"/>
      <w:r w:rsidRPr="00BD49C3">
        <w:rPr>
          <w:b/>
          <w:i/>
        </w:rPr>
        <w:t>Boyarsky</w:t>
      </w:r>
      <w:proofErr w:type="spellEnd"/>
      <w:r w:rsidRPr="00BD49C3">
        <w:rPr>
          <w:b/>
          <w:i/>
        </w:rPr>
        <w:t xml:space="preserve"> and the Architectural Association</w:t>
      </w:r>
      <w:r w:rsidRPr="00BD49C3">
        <w:t xml:space="preserve">” in collaboration with the Alvin </w:t>
      </w:r>
      <w:proofErr w:type="spellStart"/>
      <w:r w:rsidRPr="00BD49C3">
        <w:t>Boyarsky</w:t>
      </w:r>
      <w:proofErr w:type="spellEnd"/>
      <w:r w:rsidRPr="00BD49C3">
        <w:t xml:space="preserve"> Archive in 2021 that reveals the spirit of experimentation and transformation</w:t>
      </w:r>
      <w:r w:rsidRPr="00BD49C3">
        <w:rPr>
          <w:rFonts w:hint="eastAsia"/>
        </w:rPr>
        <w:t xml:space="preserve"> </w:t>
      </w:r>
      <w:r w:rsidRPr="00BD49C3">
        <w:t>inspired by architectural education, this elaborately orchestrated event also counts as a grand transnational exhibition hosted by the Jut Art Museum. By virtue of these exhibitions, the Jut Art Museum seeks to facilitate international exchange in architectural education, insofar as to stimulate people’s reflection on the potential of architecture and promote the overall development of urban culture.</w:t>
      </w:r>
    </w:p>
    <w:p w14:paraId="4E0EC5C9" w14:textId="77777777" w:rsidR="0076412F" w:rsidRPr="00BD49C3" w:rsidRDefault="0076412F">
      <w:pPr>
        <w:jc w:val="both"/>
      </w:pPr>
    </w:p>
    <w:p w14:paraId="07D440E4" w14:textId="77777777" w:rsidR="0076412F" w:rsidRPr="00BD49C3" w:rsidRDefault="004C7E6E" w:rsidP="004C7E6E">
      <w:r w:rsidRPr="00BD49C3">
        <w:t xml:space="preserve">For more detailed information about the venue and the exhibition, please visit the official website </w:t>
      </w:r>
      <w:hyperlink r:id="rId7">
        <w:r w:rsidRPr="00BD49C3">
          <w:rPr>
            <w:color w:val="0000FF"/>
            <w:u w:val="single"/>
          </w:rPr>
          <w:t>http://jam.jutfoundation.org.tw/en</w:t>
        </w:r>
      </w:hyperlink>
    </w:p>
    <w:sectPr w:rsidR="0076412F" w:rsidRPr="00BD49C3">
      <w:headerReference w:type="default" r:id="rId8"/>
      <w:pgSz w:w="11906" w:h="16838"/>
      <w:pgMar w:top="1440" w:right="1247" w:bottom="1440" w:left="124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E3D09" w14:textId="77777777" w:rsidR="001F3999" w:rsidRDefault="004C7E6E">
      <w:r>
        <w:separator/>
      </w:r>
    </w:p>
  </w:endnote>
  <w:endnote w:type="continuationSeparator" w:id="0">
    <w:p w14:paraId="4AE4C72F" w14:textId="77777777" w:rsidR="001F3999" w:rsidRDefault="004C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微軟正黑體">
    <w:altName w:val="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BC24" w14:textId="77777777" w:rsidR="001F3999" w:rsidRDefault="004C7E6E">
      <w:r>
        <w:separator/>
      </w:r>
    </w:p>
  </w:footnote>
  <w:footnote w:type="continuationSeparator" w:id="0">
    <w:p w14:paraId="219AD0FF" w14:textId="77777777" w:rsidR="001F3999" w:rsidRDefault="004C7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DB02" w14:textId="15C8F95D" w:rsidR="00CB1639" w:rsidRPr="00CB1639" w:rsidRDefault="00CB1639" w:rsidP="00CB1639">
    <w:pPr>
      <w:pBdr>
        <w:top w:val="nil"/>
        <w:left w:val="nil"/>
        <w:bottom w:val="nil"/>
        <w:right w:val="nil"/>
        <w:between w:val="nil"/>
      </w:pBdr>
      <w:tabs>
        <w:tab w:val="center" w:pos="4153"/>
        <w:tab w:val="right" w:pos="8306"/>
      </w:tabs>
      <w:rPr>
        <w:rFonts w:asciiTheme="minorHAnsi" w:eastAsia="微軟正黑體" w:hAnsiTheme="minorHAnsi" w:cstheme="minorHAnsi"/>
        <w:i/>
        <w:iCs/>
        <w:color w:val="000000"/>
        <w:sz w:val="18"/>
        <w:szCs w:val="18"/>
      </w:rPr>
    </w:pPr>
    <w:r w:rsidRPr="00CB1639">
      <w:rPr>
        <w:rFonts w:asciiTheme="minorHAnsi" w:hAnsiTheme="minorHAnsi" w:cstheme="minorHAnsi"/>
        <w:i/>
        <w:iCs/>
        <w:noProof/>
        <w:sz w:val="18"/>
        <w:szCs w:val="18"/>
      </w:rPr>
      <w:drawing>
        <wp:anchor distT="0" distB="0" distL="114300" distR="114300" simplePos="0" relativeHeight="251659264" behindDoc="0" locked="0" layoutInCell="1" hidden="0" allowOverlap="1" wp14:anchorId="4F885777" wp14:editId="3D2CBC17">
          <wp:simplePos x="0" y="0"/>
          <wp:positionH relativeFrom="column">
            <wp:posOffset>4895850</wp:posOffset>
          </wp:positionH>
          <wp:positionV relativeFrom="paragraph">
            <wp:posOffset>-56515</wp:posOffset>
          </wp:positionV>
          <wp:extent cx="1362075" cy="354330"/>
          <wp:effectExtent l="0" t="0" r="0" b="7620"/>
          <wp:wrapNone/>
          <wp:docPr id="48" name="image1.png" descr="C:\Users\user\Desktop\美術館\忠泰美術館\jutartmuseum logo 橫.png"/>
          <wp:cNvGraphicFramePr/>
          <a:graphic xmlns:a="http://schemas.openxmlformats.org/drawingml/2006/main">
            <a:graphicData uri="http://schemas.openxmlformats.org/drawingml/2006/picture">
              <pic:pic xmlns:pic="http://schemas.openxmlformats.org/drawingml/2006/picture">
                <pic:nvPicPr>
                  <pic:cNvPr id="0" name="image1.png" descr="C:\Users\user\Desktop\美術館\忠泰美術館\jutartmuseum logo 橫.png"/>
                  <pic:cNvPicPr preferRelativeResize="0"/>
                </pic:nvPicPr>
                <pic:blipFill>
                  <a:blip r:embed="rId1"/>
                  <a:srcRect/>
                  <a:stretch>
                    <a:fillRect/>
                  </a:stretch>
                </pic:blipFill>
                <pic:spPr>
                  <a:xfrm>
                    <a:off x="0" y="0"/>
                    <a:ext cx="1362075" cy="354330"/>
                  </a:xfrm>
                  <a:prstGeom prst="rect">
                    <a:avLst/>
                  </a:prstGeom>
                  <a:ln/>
                </pic:spPr>
              </pic:pic>
            </a:graphicData>
          </a:graphic>
        </wp:anchor>
      </w:drawing>
    </w:r>
    <w:r w:rsidRPr="00CB1639">
      <w:rPr>
        <w:rFonts w:asciiTheme="minorHAnsi" w:eastAsia="微軟正黑體" w:hAnsiTheme="minorHAnsi" w:cstheme="minorHAnsi"/>
        <w:i/>
        <w:iCs/>
        <w:color w:val="000000"/>
        <w:sz w:val="18"/>
        <w:szCs w:val="18"/>
      </w:rPr>
      <w:t>TADAO ANDO: ENDEAVORS</w:t>
    </w:r>
    <w:r>
      <w:rPr>
        <w:rFonts w:asciiTheme="minorHAnsi" w:eastAsia="微軟正黑體" w:hAnsiTheme="minorHAnsi" w:cstheme="minorHAnsi"/>
        <w:i/>
        <w:iCs/>
        <w:color w:val="000000"/>
        <w:sz w:val="18"/>
        <w:szCs w:val="18"/>
      </w:rPr>
      <w:t xml:space="preserve"> </w:t>
    </w:r>
    <w:r w:rsidR="000B4D41">
      <w:rPr>
        <w:rFonts w:asciiTheme="minorHAnsi" w:eastAsia="微軟正黑體" w:hAnsiTheme="minorHAnsi" w:cstheme="minorHAnsi" w:hint="eastAsia"/>
        <w:i/>
        <w:iCs/>
        <w:color w:val="000000"/>
        <w:sz w:val="18"/>
        <w:szCs w:val="18"/>
      </w:rPr>
      <w:t>(</w:t>
    </w:r>
    <w:r>
      <w:rPr>
        <w:rFonts w:asciiTheme="minorHAnsi" w:eastAsia="微軟正黑體" w:hAnsiTheme="minorHAnsi" w:cstheme="minorHAnsi"/>
        <w:i/>
        <w:iCs/>
        <w:color w:val="000000"/>
        <w:sz w:val="18"/>
        <w:szCs w:val="18"/>
      </w:rPr>
      <w:t>TAIPEI</w:t>
    </w:r>
    <w:r w:rsidR="000B4D41">
      <w:rPr>
        <w:rFonts w:asciiTheme="minorHAnsi" w:eastAsia="微軟正黑體" w:hAnsiTheme="minorHAnsi" w:cstheme="minorHAnsi" w:hint="eastAsia"/>
        <w:i/>
        <w:iCs/>
        <w:color w:val="000000"/>
        <w:sz w:val="18"/>
        <w:szCs w:val="18"/>
      </w:rPr>
      <w:t>)</w:t>
    </w:r>
  </w:p>
  <w:p w14:paraId="12121E17" w14:textId="568821E1" w:rsidR="0076412F" w:rsidRDefault="00CB1639" w:rsidP="00CB1639">
    <w:pPr>
      <w:pBdr>
        <w:top w:val="nil"/>
        <w:left w:val="nil"/>
        <w:bottom w:val="nil"/>
        <w:right w:val="nil"/>
        <w:between w:val="nil"/>
      </w:pBdr>
      <w:tabs>
        <w:tab w:val="center" w:pos="4153"/>
        <w:tab w:val="right" w:pos="8306"/>
      </w:tabs>
      <w:rPr>
        <w:color w:val="000000"/>
        <w:sz w:val="20"/>
        <w:szCs w:val="20"/>
      </w:rPr>
    </w:pPr>
    <w:r w:rsidRPr="00202F3D">
      <w:rPr>
        <w:rFonts w:asciiTheme="minorHAnsi" w:eastAsia="微軟正黑體" w:hAnsiTheme="minorHAnsi" w:cstheme="minorHAnsi"/>
        <w:color w:val="000000"/>
        <w:sz w:val="18"/>
        <w:szCs w:val="18"/>
      </w:rPr>
      <w:t xml:space="preserve">Press Release / Publish Date: </w:t>
    </w:r>
    <w:r>
      <w:rPr>
        <w:rFonts w:asciiTheme="minorHAnsi" w:eastAsia="微軟正黑體" w:hAnsiTheme="minorHAnsi" w:cstheme="minorHAnsi" w:hint="eastAsia"/>
        <w:color w:val="000000"/>
        <w:sz w:val="18"/>
        <w:szCs w:val="18"/>
      </w:rPr>
      <w:t>Au</w:t>
    </w:r>
    <w:r>
      <w:rPr>
        <w:rFonts w:asciiTheme="minorHAnsi" w:eastAsia="微軟正黑體" w:hAnsiTheme="minorHAnsi" w:cstheme="minorHAnsi"/>
        <w:color w:val="000000"/>
        <w:sz w:val="18"/>
        <w:szCs w:val="18"/>
      </w:rPr>
      <w:t>gust</w:t>
    </w:r>
    <w:r w:rsidRPr="00202F3D">
      <w:rPr>
        <w:rFonts w:asciiTheme="minorHAnsi" w:eastAsia="微軟正黑體" w:hAnsiTheme="minorHAnsi" w:cstheme="minorHAnsi"/>
        <w:color w:val="000000"/>
        <w:sz w:val="18"/>
        <w:szCs w:val="18"/>
      </w:rPr>
      <w:t xml:space="preserve"> </w:t>
    </w:r>
    <w:r>
      <w:rPr>
        <w:rFonts w:asciiTheme="minorHAnsi" w:eastAsia="微軟正黑體" w:hAnsiTheme="minorHAnsi" w:cstheme="minorHAnsi"/>
        <w:color w:val="000000"/>
        <w:sz w:val="18"/>
        <w:szCs w:val="18"/>
      </w:rPr>
      <w:t>1</w:t>
    </w:r>
    <w:r w:rsidR="007A2F5C">
      <w:rPr>
        <w:rFonts w:asciiTheme="minorHAnsi" w:eastAsia="微軟正黑體" w:hAnsiTheme="minorHAnsi" w:cstheme="minorHAnsi" w:hint="eastAsia"/>
        <w:color w:val="000000"/>
        <w:sz w:val="18"/>
        <w:szCs w:val="18"/>
      </w:rPr>
      <w:t>7</w:t>
    </w:r>
    <w:r>
      <w:rPr>
        <w:rFonts w:asciiTheme="minorHAnsi" w:eastAsia="微軟正黑體" w:hAnsiTheme="minorHAnsi" w:cstheme="minorHAnsi"/>
        <w:color w:val="000000"/>
        <w:sz w:val="18"/>
        <w:szCs w:val="18"/>
      </w:rPr>
      <w:t>th</w:t>
    </w:r>
    <w:r w:rsidRPr="00202F3D">
      <w:rPr>
        <w:rFonts w:asciiTheme="minorHAnsi" w:eastAsia="微軟正黑體" w:hAnsiTheme="minorHAnsi" w:cstheme="minorHAnsi"/>
        <w:color w:val="000000"/>
        <w:sz w:val="18"/>
        <w:szCs w:val="18"/>
      </w:rPr>
      <w:t>, 2022</w:t>
    </w:r>
    <w:r w:rsidR="000B4D41">
      <w:rPr>
        <w:rFonts w:asciiTheme="minorHAnsi" w:eastAsia="微軟正黑體" w:hAnsiTheme="minorHAnsi" w:cstheme="minorHAnsi" w:hint="eastAsia"/>
        <w:color w:val="000000"/>
        <w:sz w:val="18"/>
        <w:szCs w:val="18"/>
      </w:rPr>
      <w:t xml:space="preserve"> (UTC+8)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12F"/>
    <w:rsid w:val="000B4D41"/>
    <w:rsid w:val="001F3999"/>
    <w:rsid w:val="003A640B"/>
    <w:rsid w:val="004C7E6E"/>
    <w:rsid w:val="0076412F"/>
    <w:rsid w:val="007A2F5C"/>
    <w:rsid w:val="00BD49C3"/>
    <w:rsid w:val="00CB1639"/>
    <w:rsid w:val="00EF17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2BB8"/>
  <w15:docId w15:val="{846724A0-ED94-4320-9A97-D47F8428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style>
  <w:style w:type="character" w:customStyle="1" w:styleId="a6">
    <w:name w:val="註解文字 字元"/>
    <w:basedOn w:val="a0"/>
    <w:link w:val="a5"/>
    <w:uiPriority w:val="99"/>
    <w:semiHidden/>
  </w:style>
  <w:style w:type="character" w:styleId="a7">
    <w:name w:val="annotation reference"/>
    <w:basedOn w:val="a0"/>
    <w:uiPriority w:val="99"/>
    <w:semiHidden/>
    <w:unhideWhenUsed/>
    <w:rPr>
      <w:sz w:val="18"/>
      <w:szCs w:val="18"/>
    </w:rPr>
  </w:style>
  <w:style w:type="paragraph" w:styleId="a8">
    <w:name w:val="header"/>
    <w:basedOn w:val="a"/>
    <w:link w:val="a9"/>
    <w:uiPriority w:val="99"/>
    <w:unhideWhenUsed/>
    <w:rsid w:val="00CB1639"/>
    <w:pPr>
      <w:tabs>
        <w:tab w:val="center" w:pos="4153"/>
        <w:tab w:val="right" w:pos="8306"/>
      </w:tabs>
      <w:snapToGrid w:val="0"/>
    </w:pPr>
    <w:rPr>
      <w:sz w:val="20"/>
      <w:szCs w:val="20"/>
    </w:rPr>
  </w:style>
  <w:style w:type="character" w:customStyle="1" w:styleId="a9">
    <w:name w:val="頁首 字元"/>
    <w:basedOn w:val="a0"/>
    <w:link w:val="a8"/>
    <w:uiPriority w:val="99"/>
    <w:rsid w:val="00CB1639"/>
    <w:rPr>
      <w:sz w:val="20"/>
      <w:szCs w:val="20"/>
    </w:rPr>
  </w:style>
  <w:style w:type="paragraph" w:styleId="aa">
    <w:name w:val="footer"/>
    <w:basedOn w:val="a"/>
    <w:link w:val="ab"/>
    <w:uiPriority w:val="99"/>
    <w:unhideWhenUsed/>
    <w:rsid w:val="00CB1639"/>
    <w:pPr>
      <w:tabs>
        <w:tab w:val="center" w:pos="4153"/>
        <w:tab w:val="right" w:pos="8306"/>
      </w:tabs>
      <w:snapToGrid w:val="0"/>
    </w:pPr>
    <w:rPr>
      <w:sz w:val="20"/>
      <w:szCs w:val="20"/>
    </w:rPr>
  </w:style>
  <w:style w:type="character" w:customStyle="1" w:styleId="ab">
    <w:name w:val="頁尾 字元"/>
    <w:basedOn w:val="a0"/>
    <w:link w:val="aa"/>
    <w:uiPriority w:val="99"/>
    <w:rsid w:val="00CB16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jam.jutfoundation.org.tw/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Ryu Lee</cp:lastModifiedBy>
  <cp:revision>8</cp:revision>
  <dcterms:created xsi:type="dcterms:W3CDTF">2022-08-12T07:51:00Z</dcterms:created>
  <dcterms:modified xsi:type="dcterms:W3CDTF">2022-08-17T03:04:00Z</dcterms:modified>
</cp:coreProperties>
</file>