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B50CA" w14:textId="77777777" w:rsidR="002B6D63" w:rsidRPr="00015B4A" w:rsidRDefault="00D42B59">
      <w:pPr>
        <w:pStyle w:val="1"/>
        <w:jc w:val="center"/>
        <w:rPr>
          <w:rFonts w:eastAsia="微軟正黑體"/>
          <w:sz w:val="32"/>
          <w:szCs w:val="32"/>
        </w:rPr>
      </w:pPr>
      <w:bookmarkStart w:id="0" w:name="_heading=h.6y9py0u6sx29" w:colFirst="0" w:colLast="0"/>
      <w:bookmarkEnd w:id="0"/>
      <w:r w:rsidRPr="00015B4A">
        <w:rPr>
          <w:rFonts w:eastAsia="微軟正黑體"/>
          <w:sz w:val="32"/>
          <w:szCs w:val="32"/>
        </w:rPr>
        <w:t>十年之約：忠泰美術館舉辦《HOME 2025：想家計畫》十週年特輯沙龍續談居住預言</w:t>
      </w:r>
    </w:p>
    <w:p w14:paraId="04A72410" w14:textId="77777777" w:rsidR="002B6D63" w:rsidRPr="00015B4A" w:rsidRDefault="00D42B59">
      <w:pPr>
        <w:pStyle w:val="2"/>
        <w:jc w:val="center"/>
        <w:rPr>
          <w:rFonts w:eastAsia="微軟正黑體"/>
          <w:b w:val="0"/>
          <w:bCs w:val="0"/>
        </w:rPr>
      </w:pPr>
      <w:r w:rsidRPr="00015B4A">
        <w:rPr>
          <w:rFonts w:eastAsia="微軟正黑體"/>
          <w:b w:val="0"/>
          <w:bCs w:val="0"/>
        </w:rPr>
        <w:t>展覽團隊再聚首，以十年前的提案為錨點，探索未來的家與城市樣貌</w:t>
      </w:r>
    </w:p>
    <w:p w14:paraId="1B1F22A7" w14:textId="77777777" w:rsidR="002B6D63" w:rsidRPr="00015B4A" w:rsidRDefault="00D42B59">
      <w:pPr>
        <w:jc w:val="center"/>
        <w:rPr>
          <w:rFonts w:eastAsia="微軟正黑體"/>
          <w:sz w:val="23"/>
          <w:szCs w:val="23"/>
        </w:rPr>
      </w:pPr>
      <w:r w:rsidRPr="00015B4A">
        <w:rPr>
          <w:rFonts w:eastAsia="微軟正黑體"/>
          <w:noProof/>
          <w:sz w:val="23"/>
          <w:szCs w:val="23"/>
        </w:rPr>
        <w:drawing>
          <wp:inline distT="114300" distB="114300" distL="114300" distR="114300" wp14:anchorId="1B996FC7" wp14:editId="2B910BF7">
            <wp:extent cx="4320000" cy="2887200"/>
            <wp:effectExtent l="0" t="0" r="4445" b="8890"/>
            <wp:docPr id="1245036612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186925" w14:textId="77777777" w:rsidR="00150987" w:rsidRDefault="00150987">
      <w:pPr>
        <w:jc w:val="both"/>
        <w:rPr>
          <w:rFonts w:eastAsia="微軟正黑體"/>
        </w:rPr>
      </w:pPr>
    </w:p>
    <w:p w14:paraId="36E60181" w14:textId="75868422" w:rsidR="002B6D63" w:rsidRPr="00015B4A" w:rsidRDefault="00D42B59">
      <w:pPr>
        <w:jc w:val="both"/>
        <w:rPr>
          <w:rFonts w:eastAsia="微軟正黑體"/>
        </w:rPr>
      </w:pPr>
      <w:r w:rsidRPr="00015B4A">
        <w:rPr>
          <w:rFonts w:eastAsia="微軟正黑體"/>
        </w:rPr>
        <w:t>忠泰美術館於2016年，以「十年後，我們將過著什麼樣的生活？」為核心提問，推出開館首展《HOME 2025：想家計畫》，展開對未來生活的想像與實驗。當年被想像為「未來」的2025年已然到來，美術館於11月29日舉辦</w:t>
      </w:r>
      <w:r w:rsidRPr="00015B4A">
        <w:rPr>
          <w:rFonts w:eastAsia="微軟正黑體"/>
          <w:b/>
          <w:bCs/>
        </w:rPr>
        <w:t>《HOME 2025：想家計畫》〈回到未來〉十週年特輯沙龍</w:t>
      </w:r>
      <w:r w:rsidRPr="00015B4A">
        <w:rPr>
          <w:rFonts w:eastAsia="微軟正黑體"/>
        </w:rPr>
        <w:t>，再度邀集策展團隊與參展者齊聚，一同回顧十年間城市環境的變化，檢視當時提出的居住預想，並開啟下一個十年的全新想像。同日亦復刻開張暌違近十年的「建築人小酒館」，以美術館為觸媒與平台，匯聚近百位建築專業、產業界與媒體人士，在輕鬆對話中透過實務經驗與城市觀察，探討「家」的意義與願景。兩場活動讓十年前拋出的提問回到當下的住居現況，重新被閱讀與討論，並延伸為忠泰美術館迎向2026年開館十週年、持續以「城市」與「未來」為題的行動方向。</w:t>
      </w:r>
    </w:p>
    <w:p w14:paraId="30D47141" w14:textId="77777777" w:rsidR="002B6D63" w:rsidRPr="00015B4A" w:rsidRDefault="00D42B59">
      <w:pPr>
        <w:pStyle w:val="2"/>
        <w:rPr>
          <w:rFonts w:eastAsia="微軟正黑體"/>
        </w:rPr>
      </w:pPr>
      <w:r w:rsidRPr="00015B4A">
        <w:rPr>
          <w:rFonts w:eastAsia="微軟正黑體"/>
        </w:rPr>
        <w:t>《HOME 2025：想家計畫》十年前的未來想像，十年後的生活現場</w:t>
      </w:r>
    </w:p>
    <w:p w14:paraId="610997B6" w14:textId="77777777" w:rsidR="002B6D63" w:rsidRPr="00F937E1" w:rsidRDefault="00D42B59">
      <w:pPr>
        <w:jc w:val="both"/>
        <w:rPr>
          <w:rFonts w:eastAsia="微軟正黑體"/>
        </w:rPr>
      </w:pPr>
      <w:r w:rsidRPr="00F937E1">
        <w:rPr>
          <w:rFonts w:eastAsia="微軟正黑體"/>
        </w:rPr>
        <w:t>忠泰美術館開館首展《HOME 2025：想家計畫》邀請阮慶岳、詹偉雄、謝宗哲三位專家組成策展團隊，串聯 29 組建築與設計團隊及20家臺灣中堅企業，從臺灣的社會、經濟與</w:t>
      </w:r>
      <w:r w:rsidRPr="00F937E1">
        <w:rPr>
          <w:rFonts w:eastAsia="微軟正黑體"/>
        </w:rPr>
        <w:lastRenderedPageBreak/>
        <w:t>環境議題出發，探索未來居住型態，也是臺灣首次大規模整合跨領域研發與創意能量的居住實驗。忠泰基金會前秘書長林宜珍回顧策展初衷道：「這不僅是開館展，更是啟動社會聯動的起點。我們參考日本 HOUSE VISION，透過企業參訪OPEN DAY，讓美術館成為產業與建築或設計師的『媒合平台』，使兩方組成團隊提出方案，把對未來的居住想像拉進大眾的日常。」</w:t>
      </w:r>
    </w:p>
    <w:p w14:paraId="480E1DCC" w14:textId="77777777" w:rsidR="002B6D63" w:rsidRPr="00F937E1" w:rsidRDefault="00D42B59">
      <w:pPr>
        <w:jc w:val="center"/>
        <w:rPr>
          <w:rFonts w:eastAsia="微軟正黑體"/>
          <w:sz w:val="28"/>
          <w:szCs w:val="28"/>
        </w:rPr>
      </w:pPr>
      <w:r w:rsidRPr="00F937E1">
        <w:rPr>
          <w:rFonts w:eastAsia="微軟正黑體"/>
          <w:noProof/>
          <w:sz w:val="28"/>
          <w:szCs w:val="28"/>
        </w:rPr>
        <w:drawing>
          <wp:inline distT="114300" distB="114300" distL="114300" distR="114300" wp14:anchorId="0FF62A83" wp14:editId="45D605B5">
            <wp:extent cx="1680000" cy="2520000"/>
            <wp:effectExtent l="0" t="0" r="0" b="0"/>
            <wp:docPr id="12450366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99FE8A" w14:textId="77777777" w:rsidR="002B6D63" w:rsidRPr="00F937E1" w:rsidRDefault="002B6D63">
      <w:pPr>
        <w:jc w:val="both"/>
        <w:rPr>
          <w:rFonts w:eastAsia="微軟正黑體"/>
          <w:sz w:val="28"/>
          <w:szCs w:val="28"/>
        </w:rPr>
      </w:pPr>
    </w:p>
    <w:p w14:paraId="0EC6CF66" w14:textId="77777777" w:rsidR="002B6D63" w:rsidRPr="00F937E1" w:rsidRDefault="00D42B59">
      <w:pPr>
        <w:jc w:val="both"/>
        <w:rPr>
          <w:rFonts w:eastAsia="微軟正黑體"/>
        </w:rPr>
      </w:pPr>
      <w:r w:rsidRPr="00F937E1">
        <w:rPr>
          <w:rFonts w:eastAsia="微軟正黑體"/>
        </w:rPr>
        <w:t>11月29日沙龍現場，眾人共同回望這歷經疫情、戰爭與AI浪潮的十年。許多當年的紙上構想，如今已深刻改變城市地景。</w:t>
      </w:r>
    </w:p>
    <w:p w14:paraId="7C0F38AB" w14:textId="77777777" w:rsidR="002B6D63" w:rsidRPr="00015B4A" w:rsidRDefault="00D42B59">
      <w:pPr>
        <w:jc w:val="center"/>
        <w:rPr>
          <w:rFonts w:eastAsia="微軟正黑體"/>
        </w:rPr>
      </w:pPr>
      <w:r w:rsidRPr="00015B4A">
        <w:rPr>
          <w:rFonts w:eastAsia="微軟正黑體"/>
          <w:noProof/>
        </w:rPr>
        <w:drawing>
          <wp:inline distT="114300" distB="114300" distL="114300" distR="114300" wp14:anchorId="60785908" wp14:editId="48963758">
            <wp:extent cx="3600000" cy="2700000"/>
            <wp:effectExtent l="0" t="0" r="635" b="5715"/>
            <wp:docPr id="1245036613" name="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FDF64C" w14:textId="77777777" w:rsidR="002B6D63" w:rsidRPr="00015B4A" w:rsidRDefault="00D42B59">
      <w:pPr>
        <w:pStyle w:val="3"/>
        <w:rPr>
          <w:rFonts w:eastAsia="微軟正黑體"/>
        </w:rPr>
      </w:pPr>
      <w:r w:rsidRPr="00015B4A">
        <w:rPr>
          <w:rFonts w:eastAsia="微軟正黑體"/>
        </w:rPr>
        <w:t>預言成為日常：從城市發展到關係構築</w:t>
      </w:r>
    </w:p>
    <w:p w14:paraId="1FDEBD51" w14:textId="77777777" w:rsidR="002B6D63" w:rsidRPr="00F937E1" w:rsidRDefault="00D42B59">
      <w:pPr>
        <w:jc w:val="both"/>
        <w:rPr>
          <w:rFonts w:eastAsia="微軟正黑體"/>
        </w:rPr>
      </w:pPr>
      <w:r w:rsidRPr="00F937E1">
        <w:rPr>
          <w:rFonts w:eastAsia="微軟正黑體"/>
        </w:rPr>
        <w:t>建築師曾柏庭當年提出的「物流×居住」與「TOD城市」，已成為當前普遍的開發模式；方瑋則透過木構實驗開啟跨國合作與在地實作；吳庭安與方新樵的跨界碰撞，將傳統產業</w:t>
      </w:r>
      <w:r w:rsidRPr="00F937E1">
        <w:rPr>
          <w:rFonts w:eastAsia="微軟正黑體"/>
        </w:rPr>
        <w:lastRenderedPageBreak/>
        <w:t>推向循環經濟與設計美學的思維，「Ｗ春池計畫」更進一步驗證了十年前的概念，為社會提供一種全新的生活風格。陸希傑、彭文苑則分享，設計的重點已從打造完美物件，轉向經營「人與空間的可調整關係」，在現實生活中打開更多可能；翁廷楷更從寵物共生議題，進一步擴大思考公有、私有邊界的共居空間，重新定義建築師在社會中的角色。</w:t>
      </w:r>
    </w:p>
    <w:p w14:paraId="3F11A212" w14:textId="77777777" w:rsidR="002B6D63" w:rsidRPr="00015B4A" w:rsidRDefault="002B6D63">
      <w:pPr>
        <w:jc w:val="both"/>
        <w:rPr>
          <w:rFonts w:eastAsia="微軟正黑體"/>
          <w:sz w:val="22"/>
          <w:szCs w:val="22"/>
        </w:rPr>
      </w:pPr>
    </w:p>
    <w:p w14:paraId="2283579F" w14:textId="36698B55" w:rsidR="002B6D63" w:rsidRPr="00015B4A" w:rsidRDefault="00D42B59">
      <w:pPr>
        <w:jc w:val="center"/>
        <w:rPr>
          <w:rFonts w:eastAsia="微軟正黑體"/>
          <w:sz w:val="22"/>
          <w:szCs w:val="22"/>
        </w:rPr>
      </w:pPr>
      <w:r w:rsidRPr="00015B4A">
        <w:rPr>
          <w:rFonts w:eastAsia="微軟正黑體"/>
          <w:noProof/>
          <w:sz w:val="22"/>
          <w:szCs w:val="22"/>
        </w:rPr>
        <w:drawing>
          <wp:inline distT="114300" distB="114300" distL="114300" distR="114300" wp14:anchorId="077A88D1" wp14:editId="4A62BA69">
            <wp:extent cx="1199518" cy="1800000"/>
            <wp:effectExtent l="0" t="0" r="0" b="0"/>
            <wp:docPr id="124503661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0987">
        <w:rPr>
          <w:rFonts w:eastAsia="微軟正黑體" w:hint="eastAsia"/>
          <w:sz w:val="22"/>
          <w:szCs w:val="22"/>
        </w:rPr>
        <w:t xml:space="preserve"> </w:t>
      </w:r>
      <w:r w:rsidRPr="00015B4A">
        <w:rPr>
          <w:rFonts w:eastAsia="微軟正黑體"/>
          <w:noProof/>
          <w:sz w:val="22"/>
          <w:szCs w:val="22"/>
        </w:rPr>
        <w:drawing>
          <wp:inline distT="114300" distB="114300" distL="114300" distR="114300" wp14:anchorId="50BF96BA" wp14:editId="43C07C06">
            <wp:extent cx="1199518" cy="1800000"/>
            <wp:effectExtent l="0" t="0" r="0" b="0"/>
            <wp:docPr id="124503661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0987">
        <w:rPr>
          <w:rFonts w:eastAsia="微軟正黑體" w:hint="eastAsia"/>
          <w:sz w:val="22"/>
          <w:szCs w:val="22"/>
        </w:rPr>
        <w:t xml:space="preserve"> </w:t>
      </w:r>
      <w:r w:rsidRPr="00015B4A">
        <w:rPr>
          <w:rFonts w:eastAsia="微軟正黑體"/>
          <w:noProof/>
          <w:sz w:val="22"/>
          <w:szCs w:val="22"/>
        </w:rPr>
        <w:drawing>
          <wp:inline distT="114300" distB="114300" distL="114300" distR="114300" wp14:anchorId="47A812E3" wp14:editId="0097345D">
            <wp:extent cx="1199518" cy="1800000"/>
            <wp:effectExtent l="0" t="0" r="0" b="0"/>
            <wp:docPr id="124503661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0987">
        <w:rPr>
          <w:rFonts w:eastAsia="微軟正黑體" w:hint="eastAsia"/>
          <w:sz w:val="22"/>
          <w:szCs w:val="22"/>
        </w:rPr>
        <w:t xml:space="preserve"> </w:t>
      </w:r>
      <w:r w:rsidRPr="00015B4A">
        <w:rPr>
          <w:rFonts w:eastAsia="微軟正黑體"/>
          <w:noProof/>
          <w:sz w:val="22"/>
          <w:szCs w:val="22"/>
        </w:rPr>
        <w:drawing>
          <wp:inline distT="114300" distB="114300" distL="114300" distR="114300" wp14:anchorId="3661A95D" wp14:editId="29BADC03">
            <wp:extent cx="1199518" cy="1800000"/>
            <wp:effectExtent l="0" t="0" r="0" b="0"/>
            <wp:docPr id="124503661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52264" w14:textId="1982A207" w:rsidR="002B6D63" w:rsidRPr="00015B4A" w:rsidRDefault="00D42B59">
      <w:pPr>
        <w:jc w:val="center"/>
        <w:rPr>
          <w:rFonts w:eastAsia="微軟正黑體"/>
          <w:sz w:val="22"/>
          <w:szCs w:val="22"/>
        </w:rPr>
      </w:pPr>
      <w:r w:rsidRPr="00015B4A">
        <w:rPr>
          <w:rFonts w:eastAsia="微軟正黑體"/>
          <w:noProof/>
          <w:sz w:val="22"/>
          <w:szCs w:val="22"/>
        </w:rPr>
        <w:drawing>
          <wp:inline distT="114300" distB="114300" distL="114300" distR="114300" wp14:anchorId="4E00C623" wp14:editId="08F13CEC">
            <wp:extent cx="1199518" cy="1800000"/>
            <wp:effectExtent l="0" t="0" r="0" b="0"/>
            <wp:docPr id="12450366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0987">
        <w:rPr>
          <w:rFonts w:eastAsia="微軟正黑體" w:hint="eastAsia"/>
          <w:sz w:val="22"/>
          <w:szCs w:val="22"/>
        </w:rPr>
        <w:t xml:space="preserve"> </w:t>
      </w:r>
      <w:r w:rsidRPr="00015B4A">
        <w:rPr>
          <w:rFonts w:eastAsia="微軟正黑體"/>
          <w:noProof/>
          <w:sz w:val="22"/>
          <w:szCs w:val="22"/>
        </w:rPr>
        <w:drawing>
          <wp:inline distT="114300" distB="114300" distL="114300" distR="114300" wp14:anchorId="2C0E1BC0" wp14:editId="2BEB9CF5">
            <wp:extent cx="1199518" cy="1800000"/>
            <wp:effectExtent l="0" t="0" r="0" b="0"/>
            <wp:docPr id="12450366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0987">
        <w:rPr>
          <w:rFonts w:eastAsia="微軟正黑體" w:hint="eastAsia"/>
          <w:sz w:val="22"/>
          <w:szCs w:val="22"/>
        </w:rPr>
        <w:t xml:space="preserve"> </w:t>
      </w:r>
      <w:r w:rsidRPr="00015B4A">
        <w:rPr>
          <w:rFonts w:eastAsia="微軟正黑體"/>
          <w:noProof/>
          <w:sz w:val="22"/>
          <w:szCs w:val="22"/>
        </w:rPr>
        <w:drawing>
          <wp:inline distT="114300" distB="114300" distL="114300" distR="114300" wp14:anchorId="49942E6B" wp14:editId="47052866">
            <wp:extent cx="1199518" cy="1800000"/>
            <wp:effectExtent l="0" t="0" r="0" b="0"/>
            <wp:docPr id="12450366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50F92" w14:textId="77777777" w:rsidR="002B6D63" w:rsidRPr="00015B4A" w:rsidRDefault="002B6D63" w:rsidP="00D42B59">
      <w:pPr>
        <w:rPr>
          <w:rFonts w:eastAsia="微軟正黑體"/>
          <w:sz w:val="22"/>
          <w:szCs w:val="22"/>
        </w:rPr>
      </w:pPr>
    </w:p>
    <w:p w14:paraId="0EF34B8E" w14:textId="77777777" w:rsidR="002B6D63" w:rsidRPr="00015B4A" w:rsidRDefault="00D42B59">
      <w:pPr>
        <w:pStyle w:val="3"/>
        <w:rPr>
          <w:rFonts w:eastAsia="微軟正黑體"/>
        </w:rPr>
      </w:pPr>
      <w:r w:rsidRPr="00015B4A">
        <w:rPr>
          <w:rFonts w:eastAsia="微軟正黑體"/>
        </w:rPr>
        <w:t>向根本尋找「家」的定義：從移居到太空發展</w:t>
      </w:r>
    </w:p>
    <w:p w14:paraId="26A62F33" w14:textId="77777777" w:rsidR="002B6D63" w:rsidRPr="00F937E1" w:rsidRDefault="00D42B59">
      <w:pPr>
        <w:jc w:val="both"/>
        <w:rPr>
          <w:rFonts w:eastAsia="微軟正黑體"/>
        </w:rPr>
      </w:pPr>
      <w:r w:rsidRPr="00F937E1">
        <w:rPr>
          <w:rFonts w:eastAsia="微軟正黑體"/>
        </w:rPr>
        <w:t>環境的劇變也讓建築師對「家」的定義產生轉折。陳右昇從當年追求可移動式小宅的自由與對抗，轉而體悟「與誰生活」比「身在何處」更重要；楊秀川與許棕宣的「去物質化」，將建築視為心靈的療癒場。黃聲遠建築師指出，在更為複雜的國際局勢與 AI 發展之下，人與空間的關係勢必改變，建築也必須不再侷限於預算與現實框架，而是以垂直向度的空間想像，呼應探索宇宙的無畏精神，讓這場關於居住的實驗得以持續推進。</w:t>
      </w:r>
    </w:p>
    <w:p w14:paraId="506D7C3C" w14:textId="77777777" w:rsidR="002B6D63" w:rsidRPr="00F937E1" w:rsidRDefault="002B6D63">
      <w:pPr>
        <w:jc w:val="both"/>
        <w:rPr>
          <w:rFonts w:eastAsia="微軟正黑體"/>
        </w:rPr>
      </w:pPr>
    </w:p>
    <w:p w14:paraId="1343F94B" w14:textId="0D9CC8E2" w:rsidR="002B6D63" w:rsidRPr="00F937E1" w:rsidRDefault="00D42B59">
      <w:pPr>
        <w:jc w:val="center"/>
        <w:rPr>
          <w:rFonts w:eastAsia="微軟正黑體"/>
        </w:rPr>
      </w:pPr>
      <w:r w:rsidRPr="00F937E1">
        <w:rPr>
          <w:rFonts w:eastAsia="微軟正黑體"/>
          <w:noProof/>
        </w:rPr>
        <w:lastRenderedPageBreak/>
        <w:drawing>
          <wp:inline distT="114300" distB="114300" distL="114300" distR="114300" wp14:anchorId="3E299124" wp14:editId="458629FA">
            <wp:extent cx="1199518" cy="1800000"/>
            <wp:effectExtent l="0" t="0" r="0" b="0"/>
            <wp:docPr id="124503662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0987" w:rsidRPr="00F937E1">
        <w:rPr>
          <w:rFonts w:eastAsia="微軟正黑體" w:hint="eastAsia"/>
        </w:rPr>
        <w:t xml:space="preserve"> </w:t>
      </w:r>
      <w:r w:rsidRPr="00F937E1">
        <w:rPr>
          <w:rFonts w:eastAsia="微軟正黑體"/>
          <w:noProof/>
        </w:rPr>
        <w:drawing>
          <wp:inline distT="114300" distB="114300" distL="114300" distR="114300" wp14:anchorId="50FFA736" wp14:editId="50E6E904">
            <wp:extent cx="1199518" cy="1800000"/>
            <wp:effectExtent l="0" t="0" r="0" b="0"/>
            <wp:docPr id="124503662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0987" w:rsidRPr="00F937E1">
        <w:rPr>
          <w:rFonts w:eastAsia="微軟正黑體" w:hint="eastAsia"/>
        </w:rPr>
        <w:t xml:space="preserve"> </w:t>
      </w:r>
      <w:r w:rsidRPr="00F937E1">
        <w:rPr>
          <w:rFonts w:eastAsia="微軟正黑體"/>
          <w:noProof/>
        </w:rPr>
        <w:drawing>
          <wp:inline distT="114300" distB="114300" distL="114300" distR="114300" wp14:anchorId="7CCFEE52" wp14:editId="76B32031">
            <wp:extent cx="1199518" cy="1800000"/>
            <wp:effectExtent l="0" t="0" r="0" b="0"/>
            <wp:docPr id="124503662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50987" w:rsidRPr="00F937E1">
        <w:rPr>
          <w:rFonts w:eastAsia="微軟正黑體" w:hint="eastAsia"/>
        </w:rPr>
        <w:t xml:space="preserve"> </w:t>
      </w:r>
      <w:r w:rsidRPr="00F937E1">
        <w:rPr>
          <w:rFonts w:eastAsia="微軟正黑體"/>
          <w:noProof/>
        </w:rPr>
        <w:drawing>
          <wp:inline distT="114300" distB="114300" distL="114300" distR="114300" wp14:anchorId="46CBD50E" wp14:editId="17F03F25">
            <wp:extent cx="1199518" cy="1800000"/>
            <wp:effectExtent l="0" t="0" r="0" b="0"/>
            <wp:docPr id="12450366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8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F7083" w14:textId="77777777" w:rsidR="002B6D63" w:rsidRPr="00F937E1" w:rsidRDefault="002B6D63">
      <w:pPr>
        <w:jc w:val="both"/>
        <w:rPr>
          <w:rFonts w:eastAsia="微軟正黑體"/>
        </w:rPr>
      </w:pPr>
    </w:p>
    <w:p w14:paraId="184C2942" w14:textId="77777777" w:rsidR="002B6D63" w:rsidRPr="00F937E1" w:rsidRDefault="00D42B59">
      <w:pPr>
        <w:jc w:val="both"/>
        <w:rPr>
          <w:rFonts w:eastAsia="微軟正黑體"/>
        </w:rPr>
      </w:pPr>
      <w:r w:rsidRPr="00F937E1">
        <w:rPr>
          <w:rFonts w:eastAsia="微軟正黑體"/>
        </w:rPr>
        <w:t>三位策展人於總結時指出，這十年的歷程讓家不再只是實價登錄上的數字，而是安放現代人孤獨感、寵物、與自我對話的場所。面對臺灣產業普遍傾向理性精準與保守的現狀，期許建築師能保有「浪漫」與「詩意」，讓想像力衝撞體制並成為推動下一個十年創新的關鍵動力。</w:t>
      </w:r>
    </w:p>
    <w:p w14:paraId="3CD79062" w14:textId="77777777" w:rsidR="002B6D63" w:rsidRPr="00015B4A" w:rsidRDefault="00D42B59">
      <w:pPr>
        <w:jc w:val="center"/>
        <w:rPr>
          <w:rFonts w:eastAsia="微軟正黑體"/>
          <w:sz w:val="22"/>
          <w:szCs w:val="22"/>
        </w:rPr>
      </w:pPr>
      <w:r w:rsidRPr="00015B4A">
        <w:rPr>
          <w:rFonts w:eastAsia="微軟正黑體"/>
          <w:noProof/>
          <w:sz w:val="22"/>
          <w:szCs w:val="22"/>
        </w:rPr>
        <w:drawing>
          <wp:inline distT="114300" distB="114300" distL="114300" distR="114300" wp14:anchorId="27A6FC4F" wp14:editId="23D75BFA">
            <wp:extent cx="3600000" cy="2401200"/>
            <wp:effectExtent l="0" t="0" r="635" b="0"/>
            <wp:docPr id="1245036626" name="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ADD6A" w14:textId="77777777" w:rsidR="002B6D63" w:rsidRPr="00015B4A" w:rsidRDefault="00D42B59">
      <w:pPr>
        <w:pStyle w:val="2"/>
        <w:rPr>
          <w:rFonts w:eastAsia="微軟正黑體"/>
        </w:rPr>
      </w:pPr>
      <w:r w:rsidRPr="00015B4A">
        <w:rPr>
          <w:rFonts w:eastAsia="微軟正黑體"/>
        </w:rPr>
        <w:t>跨越十年的邀請函：美術館化身城市智庫 持續聚焦「未來」與「城市」議題</w:t>
      </w:r>
    </w:p>
    <w:p w14:paraId="659CEEDE" w14:textId="77777777" w:rsidR="002B6D63" w:rsidRPr="00F937E1" w:rsidRDefault="00D42B59">
      <w:pPr>
        <w:jc w:val="both"/>
        <w:rPr>
          <w:rFonts w:eastAsia="微軟正黑體"/>
        </w:rPr>
      </w:pPr>
      <w:r w:rsidRPr="00F937E1">
        <w:rPr>
          <w:rFonts w:eastAsia="微軟正黑體"/>
        </w:rPr>
        <w:t>忠泰美術館總監黃姍姍形容這場沙龍是「來自十年前的邀請」。《HOME 2025：想家計畫》為美術館奠定跨界共創的基因，也開啟長期的城市觀察與發展剖析。面對充滿不確定性的未來，她引用電影《回到未來》的經典台詞：「路？我們要去的地方，不需要路。」邀請大家一起在瞬息萬變的時代中嘗試走出既定路徑，為臺灣想像出通往未來的更多可能。</w:t>
      </w:r>
    </w:p>
    <w:p w14:paraId="50849FCD" w14:textId="77777777" w:rsidR="002B6D63" w:rsidRPr="00F937E1" w:rsidRDefault="00D42B59">
      <w:pPr>
        <w:jc w:val="center"/>
        <w:rPr>
          <w:rFonts w:eastAsia="微軟正黑體"/>
        </w:rPr>
      </w:pPr>
      <w:r w:rsidRPr="00F937E1">
        <w:rPr>
          <w:rFonts w:eastAsia="微軟正黑體"/>
          <w:noProof/>
        </w:rPr>
        <w:lastRenderedPageBreak/>
        <w:drawing>
          <wp:inline distT="114300" distB="114300" distL="114300" distR="114300" wp14:anchorId="0B86AA20" wp14:editId="51AAE31B">
            <wp:extent cx="1918080" cy="2880000"/>
            <wp:effectExtent l="0" t="0" r="0" b="0"/>
            <wp:docPr id="124503662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08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35D8F" w14:textId="77777777" w:rsidR="002B6D63" w:rsidRPr="00F937E1" w:rsidRDefault="002B6D63">
      <w:pPr>
        <w:jc w:val="both"/>
        <w:rPr>
          <w:rFonts w:eastAsia="微軟正黑體"/>
        </w:rPr>
      </w:pPr>
    </w:p>
    <w:p w14:paraId="3558E182" w14:textId="77777777" w:rsidR="002B6D63" w:rsidRPr="00F937E1" w:rsidRDefault="00D42B59">
      <w:pPr>
        <w:jc w:val="both"/>
        <w:rPr>
          <w:rFonts w:eastAsia="微軟正黑體"/>
        </w:rPr>
      </w:pPr>
      <w:r w:rsidRPr="00F937E1">
        <w:rPr>
          <w:rFonts w:eastAsia="微軟正黑體"/>
        </w:rPr>
        <w:t>面對現場提問「是否還會有2035年的想家計畫？」，忠泰基金會李彥良執行長真誠回應：「只要不忘初心、讓時間累積經驗與資源，早年那些看似天馬行空的構想，在未來的2035、甚至2045都有機會持續與大家一起實踐。」</w:t>
      </w:r>
    </w:p>
    <w:p w14:paraId="2DD018A9" w14:textId="77777777" w:rsidR="002B6D63" w:rsidRPr="00F937E1" w:rsidRDefault="002B6D63">
      <w:pPr>
        <w:jc w:val="both"/>
        <w:rPr>
          <w:rFonts w:eastAsia="微軟正黑體"/>
        </w:rPr>
      </w:pPr>
    </w:p>
    <w:p w14:paraId="234EDC78" w14:textId="77777777" w:rsidR="002B6D63" w:rsidRDefault="00D42B59">
      <w:pPr>
        <w:jc w:val="center"/>
        <w:rPr>
          <w:rFonts w:eastAsia="微軟正黑體"/>
        </w:rPr>
      </w:pPr>
      <w:r w:rsidRPr="00F937E1">
        <w:rPr>
          <w:rFonts w:eastAsia="微軟正黑體"/>
          <w:noProof/>
        </w:rPr>
        <w:drawing>
          <wp:inline distT="114300" distB="114300" distL="114300" distR="114300" wp14:anchorId="5AEA4CEE" wp14:editId="2064AF6E">
            <wp:extent cx="3600000" cy="2404800"/>
            <wp:effectExtent l="0" t="0" r="635" b="0"/>
            <wp:docPr id="1245036628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22AA8" w14:textId="77777777" w:rsidR="00D42B59" w:rsidRPr="00F937E1" w:rsidRDefault="00D42B59">
      <w:pPr>
        <w:jc w:val="center"/>
        <w:rPr>
          <w:rFonts w:eastAsia="微軟正黑體"/>
        </w:rPr>
      </w:pPr>
    </w:p>
    <w:p w14:paraId="236CAF9A" w14:textId="77777777" w:rsidR="002B6D63" w:rsidRPr="00F937E1" w:rsidRDefault="00D42B59">
      <w:pPr>
        <w:jc w:val="both"/>
        <w:rPr>
          <w:rFonts w:eastAsia="微軟正黑體"/>
        </w:rPr>
      </w:pPr>
      <w:r w:rsidRPr="00F937E1">
        <w:rPr>
          <w:rFonts w:eastAsia="微軟正黑體"/>
        </w:rPr>
        <w:t>從 2016 年《HOME 2025：想家計畫》的十年預言，到即將到來的 2026 年，忠泰美術館也即將迎來開館十週年的里程碑。作為臺灣首座聚焦「未來」與「城市」議題的美術館，忠泰美術館將持續以城市建築、當代藝術與未來議題為軸線，陪伴大眾一起閱讀、想像城市發展的下一個篇章。</w:t>
      </w:r>
    </w:p>
    <w:sectPr w:rsidR="002B6D63" w:rsidRPr="00F937E1">
      <w:headerReference w:type="default" r:id="rId24"/>
      <w:footerReference w:type="default" r:id="rId25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8A298" w14:textId="77777777" w:rsidR="00D42B59" w:rsidRDefault="00D42B59">
      <w:r>
        <w:separator/>
      </w:r>
    </w:p>
  </w:endnote>
  <w:endnote w:type="continuationSeparator" w:id="0">
    <w:p w14:paraId="66677DA3" w14:textId="77777777" w:rsidR="00D42B59" w:rsidRDefault="00D42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ED6BF667-B0A2-4B1C-9DA5-B8D479EE5BC2}"/>
    <w:embedBold r:id="rId2" w:subsetted="1" w:fontKey="{04BFC019-5434-41C2-883C-C8AD5500487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8E3B463-9D20-4514-9412-B07B1FC799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81AEFF-F0E2-4C39-9AC6-896B0F56F5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76C96F-38F3-4F3D-9298-A88008EDF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3FC4A" w14:textId="77777777" w:rsidR="002B6D63" w:rsidRDefault="00D42B5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15B4A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45727BD3" w14:textId="77777777" w:rsidR="002B6D63" w:rsidRPr="002870F1" w:rsidRDefault="00D42B5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eastAsia="微軟正黑體"/>
        <w:color w:val="000000"/>
        <w:sz w:val="20"/>
        <w:szCs w:val="20"/>
      </w:rPr>
    </w:pPr>
    <w:r w:rsidRPr="002870F1">
      <w:rPr>
        <w:rFonts w:eastAsia="微軟正黑體"/>
        <w:b/>
        <w:bCs/>
        <w:color w:val="000000"/>
        <w:sz w:val="22"/>
        <w:szCs w:val="22"/>
      </w:rPr>
      <w:t>媒體聯絡人│李燕姍 02-8772-6757#3531 / 0920-839-757│yslee@jutfoundation.org.tw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2D3BC" w14:textId="77777777" w:rsidR="00D42B59" w:rsidRDefault="00D42B59">
      <w:r>
        <w:separator/>
      </w:r>
    </w:p>
  </w:footnote>
  <w:footnote w:type="continuationSeparator" w:id="0">
    <w:p w14:paraId="7660F295" w14:textId="77777777" w:rsidR="00D42B59" w:rsidRDefault="00D42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91E2E" w14:textId="77777777" w:rsidR="002B6D63" w:rsidRPr="00015B4A" w:rsidRDefault="00D42B5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eastAsia="微軟正黑體"/>
        <w:color w:val="000000"/>
        <w:sz w:val="18"/>
        <w:szCs w:val="18"/>
      </w:rPr>
    </w:pPr>
    <w:r w:rsidRPr="00015B4A">
      <w:rPr>
        <w:rFonts w:eastAsia="微軟正黑體"/>
        <w:color w:val="000000"/>
        <w:sz w:val="18"/>
        <w:szCs w:val="18"/>
      </w:rPr>
      <w:t>《HOME 2025：想家計畫》〈回到未來〉十週年特輯沙龍</w:t>
    </w:r>
    <w:r w:rsidRPr="00015B4A">
      <w:rPr>
        <w:rFonts w:eastAsia="微軟正黑體"/>
        <w:noProof/>
      </w:rPr>
      <w:drawing>
        <wp:anchor distT="0" distB="0" distL="114300" distR="114300" simplePos="0" relativeHeight="251658240" behindDoc="0" locked="0" layoutInCell="1" hidden="0" allowOverlap="1" wp14:anchorId="73C170C7" wp14:editId="5F10784E">
          <wp:simplePos x="0" y="0"/>
          <wp:positionH relativeFrom="column">
            <wp:posOffset>4838065</wp:posOffset>
          </wp:positionH>
          <wp:positionV relativeFrom="paragraph">
            <wp:posOffset>-17776</wp:posOffset>
          </wp:positionV>
          <wp:extent cx="1362075" cy="354330"/>
          <wp:effectExtent l="0" t="0" r="0" b="0"/>
          <wp:wrapNone/>
          <wp:docPr id="1245036629" name="image18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7787B5" w14:textId="77777777" w:rsidR="002B6D63" w:rsidRPr="00015B4A" w:rsidRDefault="00D42B5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eastAsia="微軟正黑體"/>
        <w:color w:val="000000"/>
        <w:sz w:val="18"/>
        <w:szCs w:val="18"/>
      </w:rPr>
    </w:pPr>
    <w:r w:rsidRPr="00015B4A">
      <w:rPr>
        <w:rFonts w:eastAsia="微軟正黑體"/>
        <w:color w:val="000000"/>
        <w:sz w:val="18"/>
        <w:szCs w:val="18"/>
      </w:rPr>
      <w:t>活動新聞稿 2025年12月5日 發布</w:t>
    </w:r>
  </w:p>
  <w:p w14:paraId="6C9DD8AF" w14:textId="77777777" w:rsidR="002B6D63" w:rsidRPr="00015B4A" w:rsidRDefault="002B6D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eastAsia="微軟正黑體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D63"/>
    <w:rsid w:val="00015B4A"/>
    <w:rsid w:val="001233A7"/>
    <w:rsid w:val="00126F8D"/>
    <w:rsid w:val="00150987"/>
    <w:rsid w:val="002870F1"/>
    <w:rsid w:val="002B6D63"/>
    <w:rsid w:val="00353301"/>
    <w:rsid w:val="00C808D6"/>
    <w:rsid w:val="00D42B59"/>
    <w:rsid w:val="00F9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E6454"/>
  <w15:docId w15:val="{779CA711-3B03-4207-A469-61BC96A06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軟正黑體" w:eastAsiaTheme="minorEastAsia" w:hAnsi="微軟正黑體" w:cs="微軟正黑體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annotation text"/>
    <w:link w:val="a5"/>
    <w:uiPriority w:val="99"/>
    <w:semiHidden/>
    <w:unhideWhenUsed/>
  </w:style>
  <w:style w:type="character" w:customStyle="1" w:styleId="a5">
    <w:name w:val="註解文字 字元"/>
    <w:basedOn w:val="a0"/>
    <w:link w:val="a4"/>
    <w:uiPriority w:val="99"/>
    <w:semiHidden/>
  </w:style>
  <w:style w:type="character" w:styleId="a6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7">
    <w:name w:val="Revision"/>
    <w:hidden/>
    <w:uiPriority w:val="99"/>
    <w:semiHidden/>
    <w:rsid w:val="00A9194E"/>
    <w:pPr>
      <w:widowControl/>
    </w:pPr>
  </w:style>
  <w:style w:type="paragraph" w:styleId="a8">
    <w:name w:val="annotation subject"/>
    <w:basedOn w:val="a4"/>
    <w:next w:val="a4"/>
    <w:link w:val="a9"/>
    <w:uiPriority w:val="99"/>
    <w:semiHidden/>
    <w:unhideWhenUsed/>
    <w:rsid w:val="00A9194E"/>
    <w:rPr>
      <w:b/>
      <w:bCs/>
    </w:rPr>
  </w:style>
  <w:style w:type="character" w:customStyle="1" w:styleId="a9">
    <w:name w:val="註解主旨 字元"/>
    <w:basedOn w:val="a5"/>
    <w:link w:val="a8"/>
    <w:uiPriority w:val="99"/>
    <w:semiHidden/>
    <w:rsid w:val="00A9194E"/>
    <w:rPr>
      <w:b/>
      <w:bCs/>
    </w:rPr>
  </w:style>
  <w:style w:type="paragraph" w:styleId="aa">
    <w:name w:val="header"/>
    <w:link w:val="ab"/>
    <w:uiPriority w:val="99"/>
    <w:unhideWhenUsed/>
    <w:rsid w:val="00822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22DA1"/>
    <w:rPr>
      <w:sz w:val="20"/>
      <w:szCs w:val="20"/>
    </w:rPr>
  </w:style>
  <w:style w:type="paragraph" w:styleId="ac">
    <w:name w:val="footer"/>
    <w:link w:val="ad"/>
    <w:uiPriority w:val="99"/>
    <w:unhideWhenUsed/>
    <w:rsid w:val="00822D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822DA1"/>
    <w:rPr>
      <w:sz w:val="20"/>
      <w:szCs w:val="20"/>
    </w:rPr>
  </w:style>
  <w:style w:type="table" w:styleId="ae">
    <w:name w:val="Table Grid"/>
    <w:basedOn w:val="a1"/>
    <w:uiPriority w:val="39"/>
    <w:rsid w:val="00D94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H/+Zhcw47636iIkEQpOJd9ifCA==">CgMxLjAyDmguNnk5cHkwdTZzeDI5OABqJwoUc3VnZ2VzdC51MTRla2t0NXFsN2MSD+W/oOazsOe+juihk+mkqGonChRzdWdnZXN0Lmw2bWRyN2ZiMWhueRIP5b+g5rOw576O6KGT6aSoaicKFHN1Z2dlc3Qub2lmdDhlNW56YnY4Eg/lv6Dms7Dnvo7ooZPppKhqJwoUc3VnZ2VzdC5xM3lhZnVlbHN0djISD+W/oOazsOe+juihk+mkqGonChRzdWdnZXN0LjNxNWxxNHRvZDdubxIP5b+g5rOw576O6KGT6aSoaicKFHN1Z2dlc3QudDlzOGZ2NXRpNWt4Eg/lv6Dms7Dnvo7ooZPppKhyITFYR1YtX2h1eXM2VjRwNWp4a0NQbTEzS0NHcWQ1dy1V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yslee</dc:creator>
  <cp:lastModifiedBy>Ryu Lee</cp:lastModifiedBy>
  <cp:revision>8</cp:revision>
  <cp:lastPrinted>2025-12-04T09:59:00Z</cp:lastPrinted>
  <dcterms:created xsi:type="dcterms:W3CDTF">2025-11-24T01:51:00Z</dcterms:created>
  <dcterms:modified xsi:type="dcterms:W3CDTF">2025-12-04T10:06:00Z</dcterms:modified>
</cp:coreProperties>
</file>